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u w:val="single"/>
          <w:rtl w:val="0"/>
        </w:rPr>
        <w:t xml:space="preserve">PROYECTO CURRICULAR ANUAL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9"/>
        <w:gridCol w:w="864"/>
        <w:gridCol w:w="102"/>
        <w:gridCol w:w="547"/>
        <w:gridCol w:w="46"/>
        <w:gridCol w:w="3464"/>
        <w:gridCol w:w="4998"/>
        <w:tblGridChange w:id="0">
          <w:tblGrid>
            <w:gridCol w:w="669"/>
            <w:gridCol w:w="864"/>
            <w:gridCol w:w="102"/>
            <w:gridCol w:w="547"/>
            <w:gridCol w:w="46"/>
            <w:gridCol w:w="3464"/>
            <w:gridCol w:w="4998"/>
          </w:tblGrid>
        </w:tblGridChange>
      </w:tblGrid>
      <w:tr>
        <w:trPr>
          <w:cantSplit w:val="0"/>
          <w:trHeight w:val="132" w:hRule="atLeast"/>
          <w:tblHeader w:val="0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AÑO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CURSO</w:t>
            </w:r>
          </w:p>
        </w:tc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DEPARTAMENTO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DOCENTE/S (Apellido y Nombres)</w:t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2023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1ro ciclo superior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Exactas y Naturales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Díaz, Andrea - Vera, Sandra- Soto, Omar-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ASIGNATURA</w:t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HS CAT.:</w:t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gridSpan w:val="6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Matemática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6hs cátedras 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bfbfbf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 GENERAL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Comprender y aplicar los conceptos, estrategias y procedimientos geométricos y de análisis en la resolución de problemas intra y extra matemáticos.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Reconocer conceptos propios del Análisis Matemático.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Analizar e interpretar conceptos y propiedades en materiales teóricos y tutoriales.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OBJETIVOS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ESPECÍFICOS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Equivaler los diferentes lenguajes matemáticos: simbólico algebraico, analítico y gráfico.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Construir criterios de análisis y selección de cálculos convenientes.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Ampliar y Validar el tratamiento y análisis de cada temática.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Reducir medidas en cualquier contexto y modelización, especialmente de la construcción, arquitectura y electromecánica.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Utilizar software matemático y graficadoras.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Reconocer los elementos de análisis de funciones.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Resolver triángulos oblicuángulos.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Reconocer características y elementos de cada función.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spacing w:after="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Calcular determinantes y operar con matrices.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spacing w:after="280" w:before="0" w:lineRule="auto"/>
              <w:ind w:left="720" w:hanging="36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Trabaje con sistemas lineales y mixtos.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CONTENIDOS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 azul se discrimina los contenidos mínimos de cada unidad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Cada docente reordenara las unidades de desarrollo a su criterio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U1: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Polinomios: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Casos de factoreo: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Factor común, factor común en grupos, trinomio cuadrado perfecto, cuatrinomio cubo perfecto, diferencia de cuadrados, suma o diferencia de potencias de igual base.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Combinaciones de casos. Gráfica aproximada de funciones polinómicas: geogebra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U2: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Función lineal y cuadrática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Función Lineal y Función cuadrática: elementos básicos, representación gráfica.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Sistemas Mixtos.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U3: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Trigonometría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Estudio de triángulos oblicuángulos.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Teorema del seno y del coseno.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Identidades trigonométricas. Circulo trigonométrico.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U4: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Funciones trascendentales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Ecuaciones Exponenciales y Logarítmicas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Funciones: Exponencial, Logarítmica, Seno, Coseno y Tangente.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Gráficas con geogebra. Resolución de ecuaciones exponenciales y logarítmicas.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 5: Matrices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Conceptos generales. Propiedades.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Operaciones con matrices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Matrices cuadradas. Matriz diagonal. Matriz identidad.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c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Determinantes.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Resolución de sistemas de ecuaciones lineales de dos y tres incógnitas. Sistemas lineales de 3x3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80" w:before="0" w:line="240" w:lineRule="auto"/>
              <w:ind w:left="720" w:right="0" w:hanging="36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8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Estadística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70c0"/>
                <w:rtl w:val="0"/>
              </w:rPr>
              <w:t xml:space="preserve">Población, muestra y variables. Clasificación y escala de variables.  Tablas de frecuencias: simples y acumuladas. Parámetros de posición 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dispersión. Gráficos de torta, de barra e histogramas.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BIBLIOGRAFÍA</w:t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 1º polimodal/ Ed. Santillana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Libro de Matemática a medida de Ed. Logikamente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Hacer Matemática 2/3  Ed. Estrada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Matemática II. Ed. Santillana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Matemática III.  Ed. Santillana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Matemática/Polimodal Ed. Longseller Libro 1,2,7 y 8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Sitio web Educar y Enfoco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Apoyo en software Geogebra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7"/>
              </w:numPr>
              <w:ind w:left="36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Videos tutoriales de YouTube.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5"/>
            <w:shd w:fill="bfbfb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METODOLOGÍA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según la Bimodalidad se tendrá en cuenta lo siguiente a criterio de cada 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16"/>
                <w:szCs w:val="1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06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0065"/>
              <w:tblGridChange w:id="0">
                <w:tblGrid>
                  <w:gridCol w:w="10065"/>
                </w:tblGrid>
              </w:tblGridChange>
            </w:tblGrid>
            <w:tr>
              <w:trPr>
                <w:cantSplit w:val="0"/>
                <w:trHeight w:val="1075" w:hRule="atLeast"/>
                <w:tblHeader w:val="0"/>
              </w:trPr>
              <w:tc>
                <w:tcPr/>
                <w:p w:rsidR="00000000" w:rsidDel="00000000" w:rsidP="00000000" w:rsidRDefault="00000000" w:rsidRPr="00000000" w14:paraId="00000064">
                  <w:pPr>
                    <w:shd w:fill="ffffff" w:val="clear"/>
                    <w:spacing w:after="280" w:lineRule="auto"/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u w:val="single"/>
                      <w:rtl w:val="0"/>
                    </w:rPr>
                    <w:t xml:space="preserve">En lo presencial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65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Estudio dirigido</w:t>
                  </w:r>
                </w:p>
                <w:p w:rsidR="00000000" w:rsidDel="00000000" w:rsidP="00000000" w:rsidRDefault="00000000" w:rsidRPr="00000000" w14:paraId="00000066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Debate entre los alumnos</w:t>
                  </w:r>
                </w:p>
                <w:p w:rsidR="00000000" w:rsidDel="00000000" w:rsidP="00000000" w:rsidRDefault="00000000" w:rsidRPr="00000000" w14:paraId="00000067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Lluvia de ideas.</w:t>
                  </w:r>
                </w:p>
                <w:p w:rsidR="00000000" w:rsidDel="00000000" w:rsidP="00000000" w:rsidRDefault="00000000" w:rsidRPr="00000000" w14:paraId="00000068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Exposición didáctica.</w:t>
                  </w:r>
                </w:p>
                <w:p w:rsidR="00000000" w:rsidDel="00000000" w:rsidP="00000000" w:rsidRDefault="00000000" w:rsidRPr="00000000" w14:paraId="00000069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Desarrollo de guías teóricas y prácticas asistidas por el docente.</w:t>
                  </w:r>
                </w:p>
                <w:p w:rsidR="00000000" w:rsidDel="00000000" w:rsidP="00000000" w:rsidRDefault="00000000" w:rsidRPr="00000000" w14:paraId="0000006A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Apoyo de las unidades didácticas con bibliografía.</w:t>
                  </w:r>
                </w:p>
                <w:p w:rsidR="00000000" w:rsidDel="00000000" w:rsidP="00000000" w:rsidRDefault="00000000" w:rsidRPr="00000000" w14:paraId="0000006B">
                  <w:pPr>
                    <w:numPr>
                      <w:ilvl w:val="0"/>
                      <w:numId w:val="3"/>
                    </w:numPr>
                    <w:ind w:left="644" w:hanging="360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Aula Taller </w:t>
                  </w:r>
                </w:p>
                <w:p w:rsidR="00000000" w:rsidDel="00000000" w:rsidP="00000000" w:rsidRDefault="00000000" w:rsidRPr="00000000" w14:paraId="0000006C">
                  <w:pPr>
                    <w:spacing w:after="280" w:before="280" w:lineRule="auto"/>
                    <w:jc w:val="both"/>
                    <w:rPr/>
                  </w:pPr>
                  <w:r w:rsidDel="00000000" w:rsidR="00000000" w:rsidRPr="00000000">
                    <w:rPr>
                      <w:b w:val="1"/>
                      <w:u w:val="single"/>
                      <w:rtl w:val="0"/>
                    </w:rPr>
                    <w:t xml:space="preserve">En lo Virtual</w:t>
                  </w:r>
                  <w:r w:rsidDel="00000000" w:rsidR="00000000" w:rsidRPr="00000000">
                    <w:rPr>
                      <w:rtl w:val="0"/>
                    </w:rPr>
                    <w:t xml:space="preserve">:lo realizará el docente que solicite la habilitación de sus aulas virtuales, para apoyo y/o agilización de tiempos didácticos en forma complementaria a la presencialidad.</w:t>
                  </w:r>
                </w:p>
                <w:p w:rsidR="00000000" w:rsidDel="00000000" w:rsidP="00000000" w:rsidRDefault="00000000" w:rsidRPr="00000000" w14:paraId="0000006D">
                  <w:pPr>
                    <w:spacing w:after="280" w:before="280" w:lineRule="auto"/>
                    <w:jc w:val="both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Se tendrán en cuenta algunas de las siguientes estrategias:</w:t>
                  </w:r>
                </w:p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280" w:line="24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Desarrollo teórico de cada uno de los temas con enlaces a sitios web y videos tutoriales que le permitirán fortalecer y ampliar los conocimientos impartidos.</w:t>
                  </w:r>
                </w:p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Cuestionarios de AUTOCORRECCION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para controlar los resultados de los trabajos prácticos.</w:t>
                  </w:r>
                </w:p>
                <w:p w:rsidR="00000000" w:rsidDel="00000000" w:rsidP="00000000" w:rsidRDefault="00000000" w:rsidRPr="00000000" w14:paraId="00000070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Cuestionarios de AUTOEVALUACION INTEGRAL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 al finalizar cada eje temático.</w:t>
                  </w:r>
                </w:p>
                <w:p w:rsidR="00000000" w:rsidDel="00000000" w:rsidP="00000000" w:rsidRDefault="00000000" w:rsidRPr="00000000" w14:paraId="00000071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0" w:before="0" w:line="24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Foros de consulta,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estará siempre abierto para evacuar las dudas </w:t>
                  </w:r>
                </w:p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4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ffffff" w:val="clear"/>
                    <w:spacing w:after="280" w:before="0" w:line="240" w:lineRule="auto"/>
                    <w:ind w:left="720" w:right="0" w:hanging="360"/>
                    <w:jc w:val="both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Foro de  Participación; </w:t>
                  </w:r>
                  <w:r w:rsidDel="00000000" w:rsidR="00000000" w:rsidRPr="00000000"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también pueden ser utilizados como un Instrumento de participación y/o Evaluación; con cualquier propuesta disparador y/o integrador respecto a la temática presente</w:t>
                  </w:r>
                </w:p>
                <w:p w:rsidR="00000000" w:rsidDel="00000000" w:rsidP="00000000" w:rsidRDefault="00000000" w:rsidRPr="00000000" w14:paraId="00000073">
                  <w:pPr>
                    <w:rPr>
                      <w:rFonts w:ascii="Calibri" w:cs="Calibri" w:eastAsia="Calibri" w:hAnsi="Calibri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8" w:hRule="atLeast"/>
          <w:tblHeader w:val="0"/>
        </w:trPr>
        <w:tc>
          <w:tcPr>
            <w:gridSpan w:val="7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PLANIFICACIÓN – CRONOGRAMA POR TRIMESTRE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PRIMER TRIMESTRE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  <w:rtl w:val="0"/>
              </w:rPr>
              <w:t xml:space="preserve">Unidad 1 y 2</w:t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SEGUNDO TRIMESTRE</w:t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  <w:rtl w:val="0"/>
              </w:rPr>
              <w:t xml:space="preserve">Unidad 3 y 4</w:t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u w:val="single"/>
                <w:rtl w:val="0"/>
              </w:rPr>
              <w:t xml:space="preserve">TERCER TRIMESTRE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Unidad 5 y 6</w:t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8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44061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(incluye criterios de evaluación)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2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evaluación general del espacio curricular será considerada de manera </w:t>
            </w:r>
            <w:r w:rsidDel="00000000" w:rsidR="00000000" w:rsidRPr="00000000">
              <w:rPr>
                <w:b w:val="1"/>
                <w:rtl w:val="0"/>
              </w:rPr>
              <w:t xml:space="preserve">individua</w:t>
            </w:r>
            <w:r w:rsidDel="00000000" w:rsidR="00000000" w:rsidRPr="00000000">
              <w:rPr>
                <w:rtl w:val="0"/>
              </w:rPr>
              <w:t xml:space="preserve">l, aunque algunos trabajos podrán ser presentados en forma grupal o en parejas didácticas. </w:t>
            </w:r>
          </w:p>
          <w:p w:rsidR="00000000" w:rsidDel="00000000" w:rsidP="00000000" w:rsidRDefault="00000000" w:rsidRPr="00000000" w14:paraId="0000009D">
            <w:pPr>
              <w:spacing w:after="280" w:before="280" w:lineRule="auto"/>
              <w:jc w:val="both"/>
              <w:rPr/>
            </w:pPr>
            <w:r w:rsidDel="00000000" w:rsidR="00000000" w:rsidRPr="00000000">
              <w:rPr>
                <w:b w:val="1"/>
                <w:color w:val="008000"/>
                <w:u w:val="single"/>
                <w:rtl w:val="0"/>
              </w:rPr>
              <w:t xml:space="preserve">Criterios de evaluación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280" w:before="2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</w:t>
            </w:r>
            <w:r w:rsidDel="00000000" w:rsidR="00000000" w:rsidRPr="00000000">
              <w:rPr>
                <w:b w:val="1"/>
                <w:rtl w:val="0"/>
              </w:rPr>
              <w:t xml:space="preserve">aprobar</w:t>
            </w:r>
            <w:r w:rsidDel="00000000" w:rsidR="00000000" w:rsidRPr="00000000">
              <w:rPr>
                <w:rtl w:val="0"/>
              </w:rPr>
              <w:t xml:space="preserve"> el espacio curricular, se tendrá en cuenta la calidad de la participación de los estudiantes en relación a los siguientes criterios: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5"/>
              </w:numPr>
              <w:spacing w:after="0" w:before="28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Evidenciar dominio conceptual que se vea reflejado en la presentación y realización de las actividades; que den cuenta de un abordaje atento y profundo de cada material (lecturas, videos, sitios web, etc.) propuesto en el curso.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Articular diferentes contenidos del cursado actual en la asignatura “Matemática” como así también con otras materias.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Uso de la simbología y el lenguaje específico del área.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5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Contextualización de diferentes situaciones.</w:t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5"/>
              </w:numPr>
              <w:spacing w:after="28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Respetar los plazos estipulados en el cronograma y la forma de presentarlos.</w:t>
            </w:r>
          </w:p>
          <w:p w:rsidR="00000000" w:rsidDel="00000000" w:rsidP="00000000" w:rsidRDefault="00000000" w:rsidRPr="00000000" w14:paraId="000000A4">
            <w:pPr>
              <w:spacing w:after="280" w:before="280" w:lineRule="auto"/>
              <w:jc w:val="both"/>
              <w:rPr/>
            </w:pPr>
            <w:r w:rsidDel="00000000" w:rsidR="00000000" w:rsidRPr="00000000">
              <w:rPr>
                <w:b w:val="1"/>
                <w:color w:val="008000"/>
                <w:u w:val="single"/>
                <w:rtl w:val="0"/>
              </w:rPr>
              <w:t xml:space="preserve">Condiciones de acreditación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6"/>
              </w:numPr>
              <w:spacing w:after="0" w:before="28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Presentar los trabajos prácticos en tiempo y forma debiendo </w:t>
            </w:r>
            <w:r w:rsidDel="00000000" w:rsidR="00000000" w:rsidRPr="00000000">
              <w:rPr>
                <w:b w:val="1"/>
                <w:rtl w:val="0"/>
              </w:rPr>
              <w:t xml:space="preserve">cumplimentar el 80 % de las actividades obligatorias de cada unidad</w:t>
            </w:r>
            <w:r w:rsidDel="00000000" w:rsidR="00000000" w:rsidRPr="00000000">
              <w:rPr>
                <w:rtl w:val="0"/>
              </w:rPr>
              <w:t xml:space="preserve"> con las preguntas y ejercicios integradores referidos a todos los temas abordados.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6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Realizar la totalidad de cuestionarios de autocorrecciones</w:t>
            </w:r>
            <w:r w:rsidDel="00000000" w:rsidR="00000000" w:rsidRPr="00000000">
              <w:rPr>
                <w:rtl w:val="0"/>
              </w:rPr>
              <w:t xml:space="preserve">, previos a alguna evaluación o autoevaluación integral.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6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Realizar y aprobar las evaluaciones y/o autoevaluaciones integrales</w:t>
            </w:r>
            <w:r w:rsidDel="00000000" w:rsidR="00000000" w:rsidRPr="00000000">
              <w:rPr>
                <w:rtl w:val="0"/>
              </w:rPr>
              <w:t xml:space="preserve">, al finalizar cada eje temático. Solo tienes una alternativa de realización.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6"/>
              </w:numPr>
              <w:spacing w:after="0" w:before="0" w:lineRule="auto"/>
              <w:ind w:left="72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Aprobar el 80% o más de los instrumentos de evaluaciones. En caso de recuperación </w:t>
            </w:r>
            <w:r w:rsidDel="00000000" w:rsidR="00000000" w:rsidRPr="00000000">
              <w:rPr>
                <w:b w:val="1"/>
                <w:rtl w:val="0"/>
              </w:rPr>
              <w:t xml:space="preserve">deberán justificar debidamente</w:t>
            </w:r>
            <w:r w:rsidDel="00000000" w:rsidR="00000000" w:rsidRPr="00000000">
              <w:rPr>
                <w:rtl w:val="0"/>
              </w:rPr>
              <w:t xml:space="preserve">, en tiempo y forma por los canales correspondientes.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6"/>
              </w:numPr>
              <w:shd w:fill="ffffff" w:val="clear"/>
              <w:spacing w:after="280" w:before="0" w:lineRule="auto"/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Participar constantemente en las clases, trabajos prácticos y/o cualquier otra actividad</w:t>
            </w:r>
            <w:r w:rsidDel="00000000" w:rsidR="00000000" w:rsidRPr="00000000">
              <w:rPr>
                <w:color w:val="00000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24406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0" w:top="973" w:left="1300" w:right="240" w:header="42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-82549</wp:posOffset>
          </wp:positionH>
          <wp:positionV relativeFrom="paragraph">
            <wp:posOffset>5715</wp:posOffset>
          </wp:positionV>
          <wp:extent cx="6584950" cy="1045845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84950" cy="10458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✔"/>
      <w:lvlJc w:val="left"/>
      <w:pPr>
        <w:ind w:left="644" w:hanging="359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4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-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-3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Calibri" w:cs="Calibri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b w:val="1"/>
      <w:bCs w:val="1"/>
    </w:rPr>
  </w:style>
  <w:style w:type="paragraph" w:styleId="Prrafodelista">
    <w:name w:val="List Paragraph"/>
    <w:basedOn w:val="Normal"/>
    <w:uiPriority w:val="34"/>
    <w:qFormat w:val="1"/>
  </w:style>
  <w:style w:type="paragraph" w:styleId="TableParagraph" w:customStyle="1">
    <w:name w:val="Table Paragraph"/>
    <w:basedOn w:val="Normal"/>
    <w:uiPriority w:val="1"/>
    <w:qFormat w:val="1"/>
    <w:pPr>
      <w:ind w:left="105"/>
    </w:pPr>
  </w:style>
  <w:style w:type="paragraph" w:styleId="Encabezado">
    <w:name w:val="header"/>
    <w:basedOn w:val="Normal"/>
    <w:link w:val="EncabezadoCar"/>
    <w:uiPriority w:val="99"/>
    <w:unhideWhenUsed w:val="1"/>
    <w:rsid w:val="006A7237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A7237"/>
    <w:rPr>
      <w:rFonts w:ascii="Calibri" w:cs="Calibri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6A7237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A7237"/>
    <w:rPr>
      <w:rFonts w:ascii="Calibri" w:cs="Calibri" w:eastAsia="Calibri" w:hAnsi="Calibri"/>
      <w:lang w:val="es-ES"/>
    </w:rPr>
  </w:style>
  <w:style w:type="table" w:styleId="Tablaconcuadrcula">
    <w:name w:val="Table Grid"/>
    <w:basedOn w:val="Tablanormal"/>
    <w:uiPriority w:val="39"/>
    <w:rsid w:val="006A7237"/>
    <w:pPr>
      <w:widowControl w:val="1"/>
      <w:autoSpaceDE w:val="1"/>
      <w:autoSpaceDN w:val="1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12EBA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12EBA"/>
    <w:rPr>
      <w:rFonts w:ascii="Segoe UI" w:cs="Segoe UI" w:eastAsia="Calibr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widowControl w:val="1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ViKixSKUa4/zv1OMfkzzSCZVxVA==">AMUW2mVX6/ovRjxXPPJcvzoj+43bKl9uA32NZYYwEX1HaeTSJXf+bT1eWW7mgGTBf08ZADhBdJK/LbnkjnsF9H8xEsQ9Cg2I6SpZekRWfft+nypkGl21Ims=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2023-03-05T18:31:00Z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2022-03-14T00:00:00Z</vt:filetime>
  </property>
  <property fmtid="{D5CDD505-2E9C-101B-9397-08002B2CF9AE}" pid="5" name="GrammarlyDocumentId">
    <vt:lpwstr>389ca83b4176acd2fc350ea02e783ec5e33fe129e6f4cfc389bc3027e0c53b3a</vt:lpwstr>
  </property>
</Properties>
</file>