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85" w:rsidRDefault="00182296">
      <w:r>
        <w:rPr>
          <w:noProof/>
          <w:lang w:eastAsia="es-ES"/>
        </w:rPr>
        <w:drawing>
          <wp:inline distT="0" distB="0" distL="0" distR="0">
            <wp:extent cx="6131506" cy="97409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h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085" cy="99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96" w:rsidRDefault="00182296" w:rsidP="00182296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837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230"/>
        <w:gridCol w:w="3280"/>
        <w:gridCol w:w="4125"/>
      </w:tblGrid>
      <w:tr w:rsidR="00182296" w:rsidRPr="00FD059E" w:rsidTr="000607FD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012EBA" w:rsidRDefault="00182296" w:rsidP="000607FD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012EBA" w:rsidRDefault="00182296" w:rsidP="000607FD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2A368A" w:rsidRDefault="00182296" w:rsidP="000607FD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2A368A" w:rsidRDefault="00182296" w:rsidP="000607FD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182296" w:rsidRPr="00FD059E" w:rsidTr="00A47344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82296" w:rsidRPr="00012EBA" w:rsidRDefault="00182296" w:rsidP="00A47344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82296" w:rsidRPr="00012EBA" w:rsidRDefault="004A5275" w:rsidP="004A5275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4to</w:t>
            </w:r>
            <w:r w:rsidR="00A47344">
              <w:rPr>
                <w:lang w:val="es-AR"/>
              </w:rPr>
              <w:t xml:space="preserve"> 1ra y 2</w:t>
            </w:r>
            <w:r w:rsidR="00C51D30">
              <w:rPr>
                <w:lang w:val="es-AR"/>
              </w:rPr>
              <w:t>da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182296" w:rsidRPr="002A368A" w:rsidRDefault="00C51D30" w:rsidP="00A47344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INDUSTRIA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82296" w:rsidRPr="002A368A" w:rsidRDefault="00C51D30" w:rsidP="00C51D30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Prof. SOSA, Francisco Omar</w:t>
            </w:r>
            <w:r w:rsidR="004A5275">
              <w:rPr>
                <w:sz w:val="20"/>
                <w:szCs w:val="20"/>
                <w:lang w:val="es-AR"/>
              </w:rPr>
              <w:t xml:space="preserve"> / Prof. Capdevilla Tomás</w:t>
            </w:r>
          </w:p>
        </w:tc>
      </w:tr>
      <w:tr w:rsidR="00182296" w:rsidRPr="00FD059E" w:rsidTr="000607FD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2A368A" w:rsidRDefault="00182296" w:rsidP="000607FD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2296" w:rsidRPr="002A368A" w:rsidRDefault="00182296" w:rsidP="000607FD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182296" w:rsidRPr="00FD059E" w:rsidTr="00A47344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:rsidR="00182296" w:rsidRPr="002A368A" w:rsidRDefault="004A5275" w:rsidP="00A47344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MANTENIMIENTO Y REPARACION DE EQUIPOS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182296" w:rsidRPr="002A368A" w:rsidRDefault="004A5275" w:rsidP="00A47344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3 (Tres</w:t>
            </w:r>
            <w:r w:rsidR="00C51D30">
              <w:rPr>
                <w:sz w:val="20"/>
                <w:szCs w:val="20"/>
                <w:lang w:val="es-AR"/>
              </w:rPr>
              <w:t>)</w:t>
            </w:r>
          </w:p>
        </w:tc>
      </w:tr>
      <w:tr w:rsidR="00182296" w:rsidRPr="00FD059E" w:rsidTr="004874E7">
        <w:trPr>
          <w:trHeight w:val="84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296" w:rsidRPr="00012EBA" w:rsidRDefault="00182296" w:rsidP="004874E7">
            <w:pPr>
              <w:contextualSpacing/>
              <w:jc w:val="center"/>
              <w:rPr>
                <w:lang w:val="es-AR"/>
              </w:rPr>
            </w:pPr>
          </w:p>
          <w:p w:rsidR="00182296" w:rsidRPr="00012EBA" w:rsidRDefault="00182296" w:rsidP="004874E7">
            <w:pPr>
              <w:pStyle w:val="Prrafodelista"/>
              <w:widowControl/>
              <w:numPr>
                <w:ilvl w:val="0"/>
                <w:numId w:val="1"/>
              </w:numPr>
              <w:shd w:val="clear" w:color="auto" w:fill="BFBFBF" w:themeFill="background1" w:themeFillShade="BF"/>
              <w:autoSpaceDE/>
              <w:autoSpaceDN/>
              <w:contextualSpacing/>
              <w:jc w:val="center"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182296" w:rsidRPr="00012EBA" w:rsidRDefault="00182296" w:rsidP="004874E7">
            <w:pPr>
              <w:jc w:val="center"/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3E4814" w:rsidRDefault="003E4814" w:rsidP="003E4814">
            <w:pPr>
              <w:ind w:left="36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     </w:t>
            </w:r>
          </w:p>
          <w:p w:rsidR="00DB366E" w:rsidRPr="00DB366E" w:rsidRDefault="003E4814" w:rsidP="00DB366E">
            <w:pPr>
              <w:spacing w:line="360" w:lineRule="auto"/>
              <w:rPr>
                <w:rFonts w:cstheme="minorHAnsi"/>
                <w:sz w:val="20"/>
                <w:szCs w:val="20"/>
                <w:lang w:val="es-AR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        </w:t>
            </w:r>
            <w:r w:rsidR="00A47344">
              <w:rPr>
                <w:sz w:val="20"/>
                <w:szCs w:val="20"/>
                <w:lang w:val="es-AR"/>
              </w:rPr>
              <w:t xml:space="preserve"> </w:t>
            </w:r>
            <w:r w:rsidR="00DB366E" w:rsidRPr="00535FFE">
              <w:rPr>
                <w:rFonts w:cstheme="minorHAnsi"/>
                <w:sz w:val="20"/>
                <w:szCs w:val="20"/>
                <w:lang w:val="es-AR"/>
              </w:rPr>
              <w:t>Para el desarrollo de</w:t>
            </w:r>
            <w:r w:rsidR="00DB366E">
              <w:rPr>
                <w:rFonts w:cstheme="minorHAnsi"/>
                <w:sz w:val="20"/>
                <w:szCs w:val="20"/>
                <w:lang w:val="es-AR"/>
              </w:rPr>
              <w:t xml:space="preserve"> esta asignatura</w:t>
            </w:r>
            <w:r w:rsidR="00DB366E" w:rsidRPr="00535FFE">
              <w:rPr>
                <w:rFonts w:cstheme="minorHAnsi"/>
                <w:sz w:val="20"/>
                <w:szCs w:val="20"/>
                <w:lang w:val="es-AR"/>
              </w:rPr>
              <w:t xml:space="preserve">, se han tomado como referencia, por un lado, el sistema productivo donde el alumno deberá insertarse laboralmente, </w:t>
            </w:r>
            <w:proofErr w:type="gramStart"/>
            <w:r w:rsidR="00DB366E" w:rsidRPr="00535FFE">
              <w:rPr>
                <w:rFonts w:cstheme="minorHAnsi"/>
                <w:sz w:val="20"/>
                <w:szCs w:val="20"/>
                <w:lang w:val="es-AR"/>
              </w:rPr>
              <w:t>y</w:t>
            </w:r>
            <w:proofErr w:type="gramEnd"/>
            <w:r w:rsidR="00DB366E" w:rsidRPr="00535FFE">
              <w:rPr>
                <w:rFonts w:cstheme="minorHAnsi"/>
                <w:sz w:val="20"/>
                <w:szCs w:val="20"/>
                <w:lang w:val="es-AR"/>
              </w:rPr>
              <w:t xml:space="preserve"> por otro lado, el ámbito educativo donde el alumno desarrollará los</w:t>
            </w:r>
            <w:r w:rsidR="00DB366E">
              <w:rPr>
                <w:rFonts w:cstheme="minorHAnsi"/>
                <w:sz w:val="20"/>
                <w:szCs w:val="20"/>
                <w:lang w:val="es-AR"/>
              </w:rPr>
              <w:t xml:space="preserve"> contenidos que le permitirán c</w:t>
            </w:r>
            <w:r w:rsidR="00DB366E" w:rsidRPr="00535FFE">
              <w:rPr>
                <w:rFonts w:cstheme="minorHAnsi"/>
                <w:sz w:val="20"/>
                <w:szCs w:val="20"/>
                <w:lang w:val="es-AR"/>
              </w:rPr>
              <w:t>alificars</w:t>
            </w:r>
            <w:r w:rsidR="00DB366E">
              <w:rPr>
                <w:rFonts w:cstheme="minorHAnsi"/>
                <w:sz w:val="20"/>
                <w:szCs w:val="20"/>
                <w:lang w:val="es-AR"/>
              </w:rPr>
              <w:t>e para esa integración laboral.</w:t>
            </w:r>
          </w:p>
          <w:p w:rsidR="00DB366E" w:rsidRPr="00061812" w:rsidRDefault="00DB366E" w:rsidP="00DB36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061812">
              <w:rPr>
                <w:rFonts w:cstheme="minorHAnsi"/>
                <w:sz w:val="20"/>
                <w:szCs w:val="20"/>
              </w:rPr>
              <w:t xml:space="preserve">a formación de una cultura técnica consiste básicamente en fortalecer en nuestros educandos la confianza en su propia capacidad de resolver problemas. </w:t>
            </w:r>
            <w:r>
              <w:rPr>
                <w:rFonts w:cstheme="minorHAnsi"/>
                <w:sz w:val="20"/>
                <w:szCs w:val="20"/>
              </w:rPr>
              <w:t xml:space="preserve">Mantenimiento y reparación de equipos </w:t>
            </w:r>
            <w:r w:rsidRPr="00061812">
              <w:rPr>
                <w:rFonts w:cstheme="minorHAnsi"/>
                <w:sz w:val="20"/>
                <w:szCs w:val="20"/>
              </w:rPr>
              <w:t xml:space="preserve">es una </w:t>
            </w:r>
            <w:r>
              <w:rPr>
                <w:rFonts w:cstheme="minorHAnsi"/>
                <w:sz w:val="20"/>
                <w:szCs w:val="20"/>
              </w:rPr>
              <w:t xml:space="preserve">asignatura </w:t>
            </w:r>
            <w:r w:rsidRPr="00061812">
              <w:rPr>
                <w:rFonts w:cstheme="minorHAnsi"/>
                <w:sz w:val="20"/>
                <w:szCs w:val="20"/>
              </w:rPr>
              <w:t>con un   campo de estudio extremadamente amplio, centrado en los equipos que ocupan diferentes industrias y empresas. Esto motiva que en nuestras aulas aparezca una gran variedad de contenidos y una multiplicidad de enfoques.</w:t>
            </w:r>
          </w:p>
          <w:p w:rsidR="006E5350" w:rsidRPr="002A368A" w:rsidRDefault="006E5350" w:rsidP="00A47344">
            <w:pPr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C46D24" w:rsidRPr="00FD059E" w:rsidTr="004874E7">
        <w:trPr>
          <w:trHeight w:val="148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D24" w:rsidRPr="00012EBA" w:rsidRDefault="00C46D24" w:rsidP="004874E7">
            <w:pPr>
              <w:contextualSpacing/>
              <w:rPr>
                <w:lang w:val="es-AR"/>
              </w:rPr>
            </w:pPr>
          </w:p>
          <w:p w:rsidR="00C46D24" w:rsidRPr="00A47344" w:rsidRDefault="00C46D24" w:rsidP="004874E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3E4814" w:rsidRDefault="003E4814" w:rsidP="00C46D24">
            <w:pPr>
              <w:ind w:left="360" w:firstLine="348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="00DB366E" w:rsidRDefault="004874E7" w:rsidP="00DB366E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s-AR"/>
              </w:rPr>
              <w:t xml:space="preserve">         </w:t>
            </w:r>
            <w:r w:rsidR="00DB366E" w:rsidRPr="007A5126">
              <w:rPr>
                <w:rFonts w:cstheme="minorHAnsi"/>
                <w:color w:val="000000"/>
                <w:sz w:val="20"/>
                <w:szCs w:val="20"/>
              </w:rPr>
              <w:t xml:space="preserve">Dotar al alumno de conocimientos que </w:t>
            </w:r>
            <w:r w:rsidR="00DB366E">
              <w:rPr>
                <w:rFonts w:cstheme="minorHAnsi"/>
                <w:color w:val="000000"/>
                <w:sz w:val="20"/>
                <w:szCs w:val="20"/>
              </w:rPr>
              <w:t xml:space="preserve">le </w:t>
            </w:r>
            <w:r w:rsidR="00BE5F51" w:rsidRPr="007A5126">
              <w:rPr>
                <w:rFonts w:cstheme="minorHAnsi"/>
                <w:color w:val="000000"/>
                <w:sz w:val="20"/>
                <w:szCs w:val="20"/>
              </w:rPr>
              <w:t xml:space="preserve">permitan </w:t>
            </w:r>
            <w:r w:rsidR="00BE5F51">
              <w:rPr>
                <w:rFonts w:cstheme="minorHAnsi"/>
                <w:color w:val="000000"/>
                <w:sz w:val="20"/>
                <w:szCs w:val="20"/>
              </w:rPr>
              <w:t>conocer</w:t>
            </w:r>
            <w:r w:rsidR="00DB366E">
              <w:rPr>
                <w:rFonts w:cstheme="minorHAnsi"/>
                <w:color w:val="000000"/>
                <w:sz w:val="20"/>
                <w:szCs w:val="20"/>
              </w:rPr>
              <w:t xml:space="preserve"> y </w:t>
            </w:r>
            <w:r w:rsidR="00DB366E" w:rsidRPr="007A5126">
              <w:rPr>
                <w:rFonts w:cstheme="minorHAnsi"/>
                <w:color w:val="000000"/>
                <w:sz w:val="20"/>
                <w:szCs w:val="20"/>
              </w:rPr>
              <w:t>entender el uso y funcionamiento de las difere</w:t>
            </w:r>
            <w:r w:rsidR="00DB366E">
              <w:rPr>
                <w:rFonts w:cstheme="minorHAnsi"/>
                <w:color w:val="000000"/>
                <w:sz w:val="20"/>
                <w:szCs w:val="20"/>
              </w:rPr>
              <w:t>ntes máquinas e instalaciones electromecánicas.</w:t>
            </w:r>
          </w:p>
          <w:p w:rsidR="00DB366E" w:rsidRPr="00B2399C" w:rsidRDefault="00DB366E" w:rsidP="00DB36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C</w:t>
            </w:r>
            <w:r w:rsidRPr="00B2399C">
              <w:rPr>
                <w:rFonts w:cstheme="minorHAnsi"/>
                <w:sz w:val="20"/>
                <w:szCs w:val="20"/>
              </w:rPr>
              <w:t>apacitar al alumno para el control del estado de las instalaciones de todo tipo, tanto las productivas como las auxiliares y de servicios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DB366E" w:rsidRDefault="00BE5F51" w:rsidP="00DB366E">
            <w:pPr>
              <w:pStyle w:val="Subttulo"/>
              <w:spacing w:line="360" w:lineRule="auto"/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        </w:t>
            </w:r>
            <w:r w:rsidR="00DB366E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>Instruir en la toma</w:t>
            </w:r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de acciones necesarias para conservar </w:t>
            </w:r>
            <w:proofErr w:type="spellStart"/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>ó</w:t>
            </w:r>
            <w:proofErr w:type="spellEnd"/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restablecer un sistema en un estado que permita garantizar su fu</w:t>
            </w:r>
            <w:r w:rsidR="00DB366E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>ncionamiento a un costo</w:t>
            </w:r>
            <w:r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mínimo,</w:t>
            </w:r>
            <w:r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desarrollando</w:t>
            </w:r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las actividades de predecir, prevenir y/</w:t>
            </w:r>
            <w:r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>o</w:t>
            </w:r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corregir averías y cuantificar y/</w:t>
            </w:r>
            <w:r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>o</w:t>
            </w:r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evaluar el estado de las instalaciones, sin descuidar los aspectos económicos.                </w:t>
            </w:r>
          </w:p>
          <w:p w:rsidR="00DB366E" w:rsidRPr="00B2399C" w:rsidRDefault="00BE5F51" w:rsidP="00DB366E">
            <w:pPr>
              <w:pStyle w:val="Subttulo"/>
              <w:spacing w:line="360" w:lineRule="auto"/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        Poner</w:t>
            </w:r>
            <w:r w:rsidR="00DB366E" w:rsidRPr="00B2399C">
              <w:rPr>
                <w:rFonts w:asciiTheme="minorHAnsi" w:eastAsia="Calibri" w:hAnsiTheme="minorHAnsi" w:cstheme="minorHAnsi"/>
                <w:b w:val="0"/>
                <w:sz w:val="20"/>
                <w:lang w:eastAsia="en-US"/>
              </w:rPr>
              <w:t xml:space="preserve"> énfasis en las condiciones de seguridad para realizar los distintos tipos de mantenimientos de acuerdo a las normativas vigentes.  </w:t>
            </w:r>
          </w:p>
          <w:p w:rsidR="00C46D24" w:rsidRPr="00012EBA" w:rsidRDefault="00C46D24" w:rsidP="00A47344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BE5F51" w:rsidRPr="00FD059E" w:rsidTr="004874E7">
        <w:trPr>
          <w:trHeight w:val="4679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F51" w:rsidRPr="00012EBA" w:rsidRDefault="00BE5F51" w:rsidP="00BE5F51">
            <w:pPr>
              <w:contextualSpacing/>
              <w:jc w:val="center"/>
              <w:rPr>
                <w:lang w:val="es-AR"/>
              </w:rPr>
            </w:pPr>
          </w:p>
          <w:p w:rsidR="00BE5F51" w:rsidRPr="00012EBA" w:rsidRDefault="00BE5F51" w:rsidP="00BE5F51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BE5F51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  <w:p w:rsidR="00BE5F51" w:rsidRPr="00BE5F51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Contenido 1</w:t>
            </w:r>
            <w:r w:rsidRPr="007C6A6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– </w:t>
            </w:r>
            <w:r w:rsidRPr="007C6A69">
              <w:rPr>
                <w:rStyle w:val="EncabezadoCar"/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Pr="007C6A69">
              <w:rPr>
                <w:rFonts w:asciiTheme="minorHAnsi" w:hAnsiTheme="minorHAnsi" w:cstheme="minorHAnsi"/>
                <w:sz w:val="20"/>
                <w:szCs w:val="20"/>
              </w:rPr>
              <w:t>Organización del taller de mantenimiento mecánico y eléctrico. Facilidades necesarias. Organización administrativa y técnica en relación con el tamaño.</w:t>
            </w:r>
          </w:p>
          <w:p w:rsidR="00BE5F51" w:rsidRPr="00BE5F51" w:rsidRDefault="00BE5F51" w:rsidP="00BE5F51">
            <w:pPr>
              <w:pStyle w:val="NormalWeb"/>
              <w:shd w:val="clear" w:color="auto" w:fill="FFFFFF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Contenido 2</w:t>
            </w:r>
            <w:r w:rsidRPr="007C6A6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– </w:t>
            </w:r>
            <w:r w:rsidRPr="007C6A69">
              <w:rPr>
                <w:rStyle w:val="nfasis"/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Mantenimiento Preventivo. Conceptos básicos. Ventajas técnicas y económicas. Historial de equipos</w:t>
            </w:r>
            <w:r w:rsidRPr="007C6A69">
              <w:rPr>
                <w:sz w:val="20"/>
                <w:szCs w:val="20"/>
              </w:rPr>
              <w:t xml:space="preserve"> </w:t>
            </w:r>
          </w:p>
          <w:p w:rsidR="00BE5F51" w:rsidRPr="00BE5F51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Contenido 3</w:t>
            </w:r>
            <w:r w:rsidRPr="007C6A6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</w:t>
            </w:r>
            <w:r w:rsidRPr="00BE5F51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- </w:t>
            </w:r>
            <w:r w:rsidRPr="00BE5F51">
              <w:rPr>
                <w:rStyle w:val="EncabezadoCar"/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Pr="00BE5F51">
              <w:rPr>
                <w:rStyle w:val="nfasis"/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Mantenimiento predictivo. Concepto básico. Ventajas técnicas y económicas en la industria de proceso continuo. Método de determinación del estado de los equipos en función al nivel de vibraciones, análisis de aceite, </w:t>
            </w:r>
            <w:proofErr w:type="spellStart"/>
            <w:proofErr w:type="gram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termografia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,  o</w:t>
            </w:r>
            <w:proofErr w:type="gram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nivel térmico de los equipos. Determinación del nivel de reparación.</w:t>
            </w:r>
          </w:p>
          <w:p w:rsidR="00BE5F51" w:rsidRPr="00BE5F51" w:rsidRDefault="00BE5F51" w:rsidP="00BE5F51">
            <w:pPr>
              <w:pStyle w:val="NormalWeb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Contenido 4</w:t>
            </w:r>
            <w:r w:rsidRPr="007C6A6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– </w:t>
            </w:r>
            <w:r w:rsidRPr="007C6A69">
              <w:rPr>
                <w:rStyle w:val="nfasis"/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Programación de reparaciones. Coordinación entre distintas especialidades. Presupuesto de trabajo. Criterio y método de reparación.</w:t>
            </w:r>
          </w:p>
          <w:p w:rsidR="00BE5F51" w:rsidRPr="00BE5F51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Contenido 5</w:t>
            </w:r>
            <w:r w:rsidRPr="007C6A6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– </w:t>
            </w:r>
            <w:r w:rsidRPr="007C6A69">
              <w:rPr>
                <w:rStyle w:val="EncabezadoCar"/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Pr="007C6A69">
              <w:rPr>
                <w:sz w:val="20"/>
                <w:szCs w:val="20"/>
              </w:rPr>
              <w:t xml:space="preserve">Mantenimiento de controles eléctricos y electrónicos. Contactos, bobinas, </w:t>
            </w:r>
            <w:proofErr w:type="spellStart"/>
            <w:r w:rsidRPr="007C6A69">
              <w:rPr>
                <w:sz w:val="20"/>
                <w:szCs w:val="20"/>
              </w:rPr>
              <w:t>relays</w:t>
            </w:r>
            <w:proofErr w:type="spellEnd"/>
            <w:r w:rsidRPr="007C6A69">
              <w:rPr>
                <w:sz w:val="20"/>
                <w:szCs w:val="20"/>
              </w:rPr>
              <w:t>, reóstatos, etc. Control de fallas más frecuentes. Análisis de causas efecto y solución. Inspección previa y programa de trabajo.</w:t>
            </w:r>
          </w:p>
          <w:p w:rsidR="00BE5F51" w:rsidRPr="00BE5F51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A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AR"/>
              </w:rPr>
              <w:t xml:space="preserve">Contenido 6 - </w:t>
            </w:r>
            <w:r w:rsidRPr="007C6A69">
              <w:rPr>
                <w:rStyle w:val="EncabezadoCar"/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Pr="007C6A69">
              <w:rPr>
                <w:rFonts w:asciiTheme="minorHAnsi" w:hAnsiTheme="minorHAnsi" w:cstheme="minorHAnsi"/>
                <w:sz w:val="20"/>
                <w:szCs w:val="20"/>
              </w:rPr>
              <w:t xml:space="preserve">Mantenimiento de equipos eléctricos. Control de puesta a tierra, métodos. Reparación controles típicos. Motores y generadores. Inspección previa y reparación de trabajos. Fallas </w:t>
            </w:r>
            <w:proofErr w:type="spellStart"/>
            <w:r w:rsidRPr="007C6A69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proofErr w:type="spellEnd"/>
            <w:r w:rsidRPr="007C6A69">
              <w:rPr>
                <w:rFonts w:asciiTheme="minorHAnsi" w:hAnsiTheme="minorHAnsi" w:cstheme="minorHAnsi"/>
                <w:sz w:val="20"/>
                <w:szCs w:val="20"/>
              </w:rPr>
              <w:t xml:space="preserve"> frecuentes.</w:t>
            </w:r>
          </w:p>
          <w:p w:rsidR="00BE5F51" w:rsidRPr="007C6A69" w:rsidRDefault="00BE5F51" w:rsidP="00BE5F5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7344" w:rsidRPr="00FD059E" w:rsidTr="004874E7">
        <w:trPr>
          <w:trHeight w:val="126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74E7" w:rsidRDefault="004874E7" w:rsidP="004874E7">
            <w:pPr>
              <w:pStyle w:val="Prrafodelista"/>
              <w:widowControl/>
              <w:autoSpaceDE/>
              <w:autoSpaceDN/>
              <w:ind w:left="360"/>
              <w:contextualSpacing/>
              <w:jc w:val="center"/>
              <w:rPr>
                <w:lang w:val="es-AR"/>
              </w:rPr>
            </w:pPr>
          </w:p>
          <w:p w:rsidR="00A47344" w:rsidRPr="00BA769C" w:rsidRDefault="00A47344" w:rsidP="004874E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lang w:val="es-AR"/>
              </w:rPr>
            </w:pPr>
            <w:r w:rsidRPr="00BA769C">
              <w:rPr>
                <w:lang w:val="es-AR"/>
              </w:rPr>
              <w:t>BIBLIOGRAFÍA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4874E7" w:rsidRPr="004874E7" w:rsidRDefault="004874E7" w:rsidP="004874E7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BE5F51" w:rsidRDefault="00BE5F51" w:rsidP="00BE5F5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E5F51">
              <w:rPr>
                <w:rFonts w:cstheme="minorHAnsi"/>
                <w:sz w:val="20"/>
                <w:szCs w:val="20"/>
              </w:rPr>
              <w:t>Técnicas</w:t>
            </w:r>
            <w:proofErr w:type="spellEnd"/>
            <w:r w:rsidRPr="00BE5F51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BE5F51">
              <w:rPr>
                <w:rFonts w:cstheme="minorHAnsi"/>
                <w:sz w:val="20"/>
                <w:szCs w:val="20"/>
              </w:rPr>
              <w:t>mantenimiento</w:t>
            </w:r>
            <w:proofErr w:type="spellEnd"/>
            <w:r w:rsidRPr="00BE5F51">
              <w:rPr>
                <w:rFonts w:cstheme="minorHAnsi"/>
                <w:sz w:val="20"/>
                <w:szCs w:val="20"/>
              </w:rPr>
              <w:t xml:space="preserve"> industrial - Juan Diaz Navarro</w:t>
            </w:r>
          </w:p>
          <w:p w:rsidR="00BE5F51" w:rsidRPr="00BE5F51" w:rsidRDefault="00BE5F51" w:rsidP="00BE5F5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Mantenimiento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Industrial-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Tecnología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Máquinas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- Mª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Belén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Muñoz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Abella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BE5F51" w:rsidRPr="00BE5F51" w:rsidRDefault="00BE5F51" w:rsidP="00BE5F5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Mantenimiento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Preventivo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Predictivo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Monitoreo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Industrial - </w:t>
            </w:r>
            <w:proofErr w:type="spellStart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BE5F51">
              <w:rPr>
                <w:rFonts w:asciiTheme="minorHAnsi" w:hAnsiTheme="minorHAnsi" w:cstheme="minorHAnsi"/>
                <w:sz w:val="20"/>
                <w:szCs w:val="20"/>
              </w:rPr>
              <w:t xml:space="preserve"> Cesar Jorge Andrade – editorial Dimas.</w:t>
            </w:r>
          </w:p>
          <w:p w:rsidR="00A47344" w:rsidRPr="00BE5F51" w:rsidRDefault="00A47344" w:rsidP="00BE5F5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>MATERIAL A FIN (</w:t>
            </w:r>
            <w:proofErr w:type="spellStart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>Disponible</w:t>
            </w:r>
            <w:proofErr w:type="spellEnd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 xml:space="preserve"> </w:t>
            </w:r>
            <w:proofErr w:type="spellStart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>en</w:t>
            </w:r>
            <w:proofErr w:type="spellEnd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 xml:space="preserve"> </w:t>
            </w:r>
            <w:proofErr w:type="spellStart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>biblioteca</w:t>
            </w:r>
            <w:proofErr w:type="spellEnd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 xml:space="preserve">, </w:t>
            </w:r>
            <w:proofErr w:type="spellStart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>servidor</w:t>
            </w:r>
            <w:proofErr w:type="spellEnd"/>
            <w:r w:rsidRPr="00BE5F51">
              <w:rPr>
                <w:rFonts w:eastAsia="Times New Roman" w:cstheme="minorHAnsi"/>
                <w:color w:val="000000"/>
                <w:sz w:val="20"/>
                <w:szCs w:val="20"/>
                <w:lang w:eastAsia="es-419"/>
              </w:rPr>
              <w:t xml:space="preserve"> de la ENET e internet)</w:t>
            </w:r>
          </w:p>
          <w:p w:rsidR="004874E7" w:rsidRPr="006E5350" w:rsidRDefault="004874E7" w:rsidP="004874E7">
            <w:pPr>
              <w:pStyle w:val="Prrafodelista"/>
              <w:widowControl/>
              <w:autoSpaceDE/>
              <w:autoSpaceDN/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BE5F51" w:rsidRPr="00FD059E" w:rsidTr="000607FD">
        <w:trPr>
          <w:trHeight w:val="2113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BE5F51" w:rsidRPr="00012EBA" w:rsidRDefault="00BE5F51" w:rsidP="00BE5F51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dobe Heiti Std R" w:eastAsia="Adobe Heiti Std R" w:hAnsi="Adobe Heiti Std R"/>
                <w:color w:val="1F4E79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405" w:type="dxa"/>
            <w:gridSpan w:val="2"/>
          </w:tcPr>
          <w:p w:rsidR="00BE5F51" w:rsidRPr="00A60924" w:rsidRDefault="00BE5F51" w:rsidP="00BE5F51">
            <w:pPr>
              <w:pStyle w:val="Sangra2detindependiente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0924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 xml:space="preserve">Exposiciones-dialogadas,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familiarizar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alumnos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con la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metodología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deductiva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tendiente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a la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conceptualización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teóricos</w:t>
            </w:r>
            <w:proofErr w:type="spellEnd"/>
            <w:r w:rsidRPr="00A609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5F51" w:rsidRPr="001A3A11" w:rsidRDefault="00BE5F51" w:rsidP="00BE5F51">
            <w:pPr>
              <w:pStyle w:val="Sangra2detindependiente"/>
              <w:tabs>
                <w:tab w:val="left" w:pos="34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D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ebates, comentarios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,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proofErr w:type="spellEnd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proofErr w:type="spellEnd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relacionadas</w:t>
            </w:r>
            <w:proofErr w:type="spellEnd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 xml:space="preserve"> con el </w:t>
            </w:r>
            <w:proofErr w:type="spellStart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tratamiento</w:t>
            </w:r>
            <w:proofErr w:type="spellEnd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 xml:space="preserve"> de la </w:t>
            </w:r>
            <w:proofErr w:type="spellStart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información</w:t>
            </w:r>
            <w:proofErr w:type="spellEnd"/>
            <w:r w:rsidRPr="001A3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5F51" w:rsidRPr="003626DE" w:rsidRDefault="00BE5F51" w:rsidP="00BE5F51">
            <w:pPr>
              <w:pStyle w:val="Sangra2detindependiente"/>
              <w:tabs>
                <w:tab w:val="left" w:pos="0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3626DE">
              <w:rPr>
                <w:sz w:val="20"/>
                <w:szCs w:val="20"/>
              </w:rPr>
              <w:t xml:space="preserve">El </w:t>
            </w:r>
            <w:proofErr w:type="spellStart"/>
            <w:r w:rsidRPr="003626DE">
              <w:rPr>
                <w:sz w:val="20"/>
                <w:szCs w:val="20"/>
              </w:rPr>
              <w:t>alumno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deberá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elaborar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programas</w:t>
            </w:r>
            <w:proofErr w:type="spellEnd"/>
            <w:r w:rsidRPr="003626DE">
              <w:rPr>
                <w:sz w:val="20"/>
                <w:szCs w:val="20"/>
              </w:rPr>
              <w:t xml:space="preserve"> de </w:t>
            </w:r>
            <w:proofErr w:type="spellStart"/>
            <w:r w:rsidRPr="003626DE">
              <w:rPr>
                <w:sz w:val="20"/>
                <w:szCs w:val="20"/>
              </w:rPr>
              <w:t>mantenimientos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preventivos</w:t>
            </w:r>
            <w:proofErr w:type="spellEnd"/>
            <w:r w:rsidRPr="003626DE">
              <w:rPr>
                <w:sz w:val="20"/>
                <w:szCs w:val="20"/>
              </w:rPr>
              <w:t xml:space="preserve"> y </w:t>
            </w:r>
            <w:proofErr w:type="spellStart"/>
            <w:r w:rsidRPr="003626DE">
              <w:rPr>
                <w:sz w:val="20"/>
                <w:szCs w:val="20"/>
              </w:rPr>
              <w:t>predictivos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en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distintas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instalaciones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industriales</w:t>
            </w:r>
            <w:proofErr w:type="spellEnd"/>
            <w:r w:rsidRPr="003626DE">
              <w:rPr>
                <w:sz w:val="20"/>
                <w:szCs w:val="20"/>
              </w:rPr>
              <w:t xml:space="preserve">. Se </w:t>
            </w:r>
            <w:proofErr w:type="spellStart"/>
            <w:r w:rsidRPr="003626DE">
              <w:rPr>
                <w:sz w:val="20"/>
                <w:szCs w:val="20"/>
              </w:rPr>
              <w:t>procura</w:t>
            </w:r>
            <w:proofErr w:type="spellEnd"/>
            <w:r w:rsidRPr="003626DE">
              <w:rPr>
                <w:sz w:val="20"/>
                <w:szCs w:val="20"/>
              </w:rPr>
              <w:t xml:space="preserve"> que </w:t>
            </w:r>
            <w:proofErr w:type="spellStart"/>
            <w:r w:rsidRPr="003626DE">
              <w:rPr>
                <w:sz w:val="20"/>
                <w:szCs w:val="20"/>
              </w:rPr>
              <w:t>los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alumnos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desarrollen</w:t>
            </w:r>
            <w:proofErr w:type="spellEnd"/>
            <w:r w:rsidRPr="003626DE">
              <w:rPr>
                <w:sz w:val="20"/>
                <w:szCs w:val="20"/>
              </w:rPr>
              <w:t xml:space="preserve"> las </w:t>
            </w:r>
            <w:proofErr w:type="spellStart"/>
            <w:r w:rsidRPr="003626DE">
              <w:rPr>
                <w:sz w:val="20"/>
                <w:szCs w:val="20"/>
              </w:rPr>
              <w:t>capacidades</w:t>
            </w:r>
            <w:proofErr w:type="spellEnd"/>
            <w:r w:rsidRPr="003626DE">
              <w:rPr>
                <w:sz w:val="20"/>
                <w:szCs w:val="20"/>
              </w:rPr>
              <w:t xml:space="preserve"> de </w:t>
            </w:r>
            <w:proofErr w:type="spellStart"/>
            <w:r w:rsidRPr="003626DE">
              <w:rPr>
                <w:sz w:val="20"/>
                <w:szCs w:val="20"/>
              </w:rPr>
              <w:t>razonamiento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proporcional</w:t>
            </w:r>
            <w:proofErr w:type="spellEnd"/>
            <w:r w:rsidRPr="003626DE">
              <w:rPr>
                <w:sz w:val="20"/>
                <w:szCs w:val="20"/>
              </w:rPr>
              <w:t xml:space="preserve">, </w:t>
            </w:r>
            <w:proofErr w:type="spellStart"/>
            <w:r w:rsidRPr="003626DE">
              <w:rPr>
                <w:sz w:val="20"/>
                <w:szCs w:val="20"/>
              </w:rPr>
              <w:t>referencial</w:t>
            </w:r>
            <w:proofErr w:type="spellEnd"/>
            <w:r w:rsidRPr="003626DE">
              <w:rPr>
                <w:sz w:val="20"/>
                <w:szCs w:val="20"/>
              </w:rPr>
              <w:t xml:space="preserve">, </w:t>
            </w:r>
            <w:proofErr w:type="spellStart"/>
            <w:r w:rsidRPr="003626DE">
              <w:rPr>
                <w:sz w:val="20"/>
                <w:szCs w:val="20"/>
              </w:rPr>
              <w:t>hipotético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deductivo</w:t>
            </w:r>
            <w:proofErr w:type="spellEnd"/>
            <w:r w:rsidRPr="003626DE">
              <w:rPr>
                <w:sz w:val="20"/>
                <w:szCs w:val="20"/>
              </w:rPr>
              <w:t xml:space="preserve">, etc. La </w:t>
            </w:r>
            <w:proofErr w:type="spellStart"/>
            <w:r w:rsidRPr="003626DE">
              <w:rPr>
                <w:sz w:val="20"/>
                <w:szCs w:val="20"/>
              </w:rPr>
              <w:t>tarea</w:t>
            </w:r>
            <w:proofErr w:type="spellEnd"/>
            <w:r w:rsidRPr="003626DE">
              <w:rPr>
                <w:sz w:val="20"/>
                <w:szCs w:val="20"/>
              </w:rPr>
              <w:t xml:space="preserve"> se </w:t>
            </w:r>
            <w:proofErr w:type="spellStart"/>
            <w:r w:rsidRPr="003626DE">
              <w:rPr>
                <w:sz w:val="20"/>
                <w:szCs w:val="20"/>
              </w:rPr>
              <w:t>realiza</w:t>
            </w:r>
            <w:proofErr w:type="spellEnd"/>
            <w:r w:rsidRPr="003626DE">
              <w:rPr>
                <w:sz w:val="20"/>
                <w:szCs w:val="20"/>
              </w:rPr>
              <w:t xml:space="preserve"> </w:t>
            </w:r>
            <w:proofErr w:type="spellStart"/>
            <w:r w:rsidRPr="003626DE">
              <w:rPr>
                <w:sz w:val="20"/>
                <w:szCs w:val="20"/>
              </w:rPr>
              <w:t>en</w:t>
            </w:r>
            <w:proofErr w:type="spellEnd"/>
            <w:r w:rsidRPr="003626DE">
              <w:rPr>
                <w:sz w:val="20"/>
                <w:szCs w:val="20"/>
              </w:rPr>
              <w:t xml:space="preserve"> forma </w:t>
            </w:r>
            <w:proofErr w:type="spellStart"/>
            <w:r w:rsidRPr="003626DE">
              <w:rPr>
                <w:sz w:val="20"/>
                <w:szCs w:val="20"/>
              </w:rPr>
              <w:t>grupal</w:t>
            </w:r>
            <w:proofErr w:type="spellEnd"/>
            <w:r w:rsidRPr="003626DE">
              <w:rPr>
                <w:sz w:val="20"/>
                <w:szCs w:val="20"/>
              </w:rPr>
              <w:t xml:space="preserve"> con la </w:t>
            </w:r>
            <w:proofErr w:type="spellStart"/>
            <w:r w:rsidRPr="003626DE">
              <w:rPr>
                <w:sz w:val="20"/>
                <w:szCs w:val="20"/>
              </w:rPr>
              <w:t>guía</w:t>
            </w:r>
            <w:proofErr w:type="spellEnd"/>
            <w:r w:rsidRPr="003626DE">
              <w:rPr>
                <w:sz w:val="20"/>
                <w:szCs w:val="20"/>
              </w:rPr>
              <w:t xml:space="preserve"> del </w:t>
            </w:r>
            <w:proofErr w:type="spellStart"/>
            <w:r w:rsidRPr="003626DE">
              <w:rPr>
                <w:sz w:val="20"/>
                <w:szCs w:val="20"/>
              </w:rPr>
              <w:t>docente</w:t>
            </w:r>
            <w:proofErr w:type="spellEnd"/>
            <w:r w:rsidRPr="003626DE">
              <w:rPr>
                <w:sz w:val="20"/>
                <w:szCs w:val="20"/>
              </w:rPr>
              <w:t>.</w:t>
            </w:r>
          </w:p>
          <w:p w:rsidR="00BE5F51" w:rsidRPr="00D07C80" w:rsidRDefault="00BE5F51" w:rsidP="00BE5F51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  <w:lang w:val="es-AR"/>
              </w:rPr>
            </w:pPr>
            <w:r w:rsidRPr="00D07C80">
              <w:rPr>
                <w:rFonts w:cstheme="minorHAnsi"/>
                <w:bCs/>
                <w:i/>
                <w:iCs/>
                <w:sz w:val="20"/>
                <w:szCs w:val="20"/>
                <w:lang w:val="es-ES_tradnl"/>
              </w:rPr>
              <w:t>Recursos Auxiliares:</w:t>
            </w:r>
            <w:r w:rsidRPr="00D07C80">
              <w:rPr>
                <w:rFonts w:cstheme="minorHAnsi"/>
                <w:bCs/>
                <w:i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>- Textos y Revistas de divulgación científica.</w:t>
            </w:r>
            <w:r w:rsidRPr="00D07C80">
              <w:rPr>
                <w:rFonts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>- Esquemas gráficos: cuadros, redes y mapas conceptuales</w:t>
            </w:r>
            <w:r w:rsidRPr="00D07C80">
              <w:rPr>
                <w:rFonts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- Imágenes visuales y sonoras 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>- Videos.</w:t>
            </w:r>
            <w:r w:rsidRPr="00D07C80">
              <w:rPr>
                <w:rFonts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rPr>
                <w:rFonts w:eastAsia="Adobe Heiti Std R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BE5F51" w:rsidRPr="00FD059E" w:rsidTr="000607FD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5F51" w:rsidRPr="002A368A" w:rsidRDefault="00BE5F51" w:rsidP="00BE5F5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dobe Heiti Std R" w:eastAsia="Adobe Heiti Std R" w:hAnsi="Adobe Heiti Std R"/>
                <w:color w:val="1F4E79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BE5F51" w:rsidRPr="00FD059E" w:rsidTr="006E5350">
        <w:trPr>
          <w:trHeight w:val="669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F51" w:rsidRPr="00EE5CBA" w:rsidRDefault="00BE5F51" w:rsidP="00BE5F51">
            <w:pPr>
              <w:jc w:val="center"/>
              <w:rPr>
                <w:rFonts w:eastAsia="Adobe Heiti Std R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eastAsia="Adobe Heiti Std R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BE5F51" w:rsidRPr="00BC7EA4" w:rsidRDefault="00BE5F51" w:rsidP="00BE5F51">
            <w:pPr>
              <w:rPr>
                <w:rFonts w:eastAsia="Adobe Heiti Std R" w:cstheme="minorHAnsi"/>
                <w:sz w:val="20"/>
                <w:szCs w:val="20"/>
                <w:u w:val="single"/>
                <w:lang w:val="es-AR"/>
              </w:rPr>
            </w:pPr>
          </w:p>
          <w:p w:rsidR="00BE5F51" w:rsidRPr="00BC7EA4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El cursado de </w:t>
            </w:r>
            <w:r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las unidades I y II </w:t>
            </w: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 se llevará a</w:t>
            </w:r>
            <w:r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 </w:t>
            </w: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>cabo en el primer trimestre de estudios.</w:t>
            </w:r>
          </w:p>
        </w:tc>
      </w:tr>
      <w:tr w:rsidR="00BE5F51" w:rsidRPr="00FD059E" w:rsidTr="006E5350">
        <w:trPr>
          <w:trHeight w:val="647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F51" w:rsidRPr="00EE5CBA" w:rsidRDefault="00BE5F51" w:rsidP="00BE5F51">
            <w:pPr>
              <w:jc w:val="center"/>
              <w:rPr>
                <w:rFonts w:eastAsia="Adobe Heiti Std R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eastAsia="Adobe Heiti Std R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  <w:vAlign w:val="center"/>
          </w:tcPr>
          <w:p w:rsidR="00BE5F51" w:rsidRPr="00BC7EA4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El cursado de las unidades III y </w:t>
            </w: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>IV se llevará a</w:t>
            </w:r>
            <w:r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 </w:t>
            </w: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>cabo en el segundo trimestre de estudios</w:t>
            </w:r>
            <w:r>
              <w:rPr>
                <w:rFonts w:eastAsia="Adobe Heiti Std R" w:cstheme="minorHAnsi"/>
                <w:sz w:val="20"/>
                <w:szCs w:val="20"/>
                <w:lang w:val="es-AR"/>
              </w:rPr>
              <w:t>.</w:t>
            </w:r>
          </w:p>
          <w:p w:rsidR="00BE5F51" w:rsidRPr="00BC7EA4" w:rsidRDefault="00BE5F51" w:rsidP="00BE5F51">
            <w:pPr>
              <w:jc w:val="center"/>
              <w:rPr>
                <w:rFonts w:eastAsia="Adobe Heiti Std R" w:cstheme="minorHAnsi"/>
                <w:sz w:val="20"/>
                <w:szCs w:val="20"/>
                <w:lang w:val="es-AR"/>
              </w:rPr>
            </w:pPr>
          </w:p>
        </w:tc>
      </w:tr>
      <w:tr w:rsidR="00BE5F51" w:rsidRPr="00FD059E" w:rsidTr="006E5350">
        <w:trPr>
          <w:trHeight w:val="745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F51" w:rsidRPr="00EE5CBA" w:rsidRDefault="00BE5F51" w:rsidP="00BE5F51">
            <w:pPr>
              <w:jc w:val="center"/>
              <w:rPr>
                <w:rFonts w:eastAsia="Adobe Heiti Std R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eastAsia="Adobe Heiti Std R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lastRenderedPageBreak/>
              <w:t>TERCER TRIMESTRE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BE5F51" w:rsidRPr="00BC7EA4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</w:p>
          <w:p w:rsidR="00BE5F51" w:rsidRPr="00BC7EA4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>El cursado de las unidades V</w:t>
            </w:r>
            <w:r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 y VI</w:t>
            </w:r>
            <w:r w:rsidRPr="00BC7EA4"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 se llevará a cabo en el tercer trimestre de estudios.</w:t>
            </w:r>
          </w:p>
        </w:tc>
      </w:tr>
      <w:tr w:rsidR="00BE5F51" w:rsidRPr="00FD059E" w:rsidTr="004874E7">
        <w:trPr>
          <w:trHeight w:val="6837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F51" w:rsidRPr="00012EBA" w:rsidRDefault="00BE5F51" w:rsidP="00BE5F51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dobe Heiti Std R" w:eastAsia="Adobe Heiti Std R" w:hAnsi="Adobe Heiti Std R"/>
                <w:color w:val="1F4E79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BE5F51" w:rsidRPr="00BC7EA4" w:rsidRDefault="00BE5F51" w:rsidP="00BE5F51">
            <w:pPr>
              <w:rPr>
                <w:rFonts w:eastAsia="Adobe Heiti Std R" w:cstheme="minorHAnsi"/>
                <w:u w:val="single"/>
                <w:lang w:val="es-AR"/>
              </w:rPr>
            </w:pP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 xml:space="preserve">Cuantitativa 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Evaluación procesual y final, período a período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AR"/>
              </w:rPr>
              <w:t xml:space="preserve">  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Evaluación de aprendizaje de contenidos conceptuales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ES_tradnl"/>
              </w:rPr>
              <w:t>Evaluación del contenido y de la forma de las producciones orales y escritas y de trabajos prácticos.</w:t>
            </w: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AR"/>
              </w:rPr>
              <w:t xml:space="preserve"> 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07C80">
              <w:rPr>
                <w:rFonts w:asciiTheme="minorHAnsi" w:hAnsiTheme="minorHAnsi" w:cstheme="minorHAnsi"/>
                <w:iCs/>
                <w:sz w:val="20"/>
                <w:szCs w:val="20"/>
                <w:lang w:val="es-AR"/>
              </w:rPr>
              <w:t>Presentación de carpeta de clase y trabajos prácticos.</w:t>
            </w:r>
          </w:p>
          <w:p w:rsidR="00BE5F51" w:rsidRPr="00D07C80" w:rsidRDefault="00BE5F51" w:rsidP="00BE5F51">
            <w:pPr>
              <w:ind w:left="708"/>
              <w:jc w:val="both"/>
              <w:rPr>
                <w:rFonts w:cstheme="minorHAnsi"/>
                <w:i/>
                <w:iCs/>
                <w:sz w:val="20"/>
                <w:szCs w:val="20"/>
                <w:lang w:val="es-ES_tradnl"/>
              </w:rPr>
            </w:pPr>
            <w:r w:rsidRPr="00D07C80">
              <w:rPr>
                <w:rFonts w:cstheme="minorHAnsi"/>
                <w:bCs/>
                <w:i/>
                <w:iCs/>
                <w:sz w:val="20"/>
                <w:szCs w:val="20"/>
                <w:lang w:val="es-ES_tradnl"/>
              </w:rPr>
              <w:t>Instrumentos</w:t>
            </w:r>
            <w:r w:rsidRPr="00D07C80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:</w:t>
            </w:r>
          </w:p>
          <w:p w:rsidR="00BE5F51" w:rsidRPr="00D07C80" w:rsidRDefault="00BE5F51" w:rsidP="00BE5F51">
            <w:pPr>
              <w:ind w:left="708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AR"/>
              </w:rPr>
              <w:br/>
            </w: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>-Evaluaciones clásicas: examen oral y prueba escrita.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D07C80">
              <w:rPr>
                <w:rFonts w:cstheme="minorHAnsi"/>
                <w:iCs/>
                <w:sz w:val="20"/>
                <w:szCs w:val="20"/>
                <w:lang w:val="es-ES_tradnl"/>
              </w:rPr>
              <w:t>-Trabajos prácticos</w:t>
            </w:r>
          </w:p>
          <w:p w:rsidR="00BE5F51" w:rsidRPr="00D07C80" w:rsidRDefault="00BE5F51" w:rsidP="00BE5F51">
            <w:pPr>
              <w:ind w:firstLine="708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</w:p>
          <w:p w:rsidR="00BE5F51" w:rsidRPr="00D07C80" w:rsidRDefault="00BE5F51" w:rsidP="00BE5F51">
            <w:pPr>
              <w:ind w:left="360" w:firstLine="348"/>
              <w:jc w:val="both"/>
              <w:rPr>
                <w:rFonts w:cstheme="minorHAnsi"/>
                <w:bCs/>
                <w:i/>
                <w:sz w:val="20"/>
                <w:szCs w:val="20"/>
                <w:lang w:val="es-ES_tradnl"/>
              </w:rPr>
            </w:pPr>
            <w:r w:rsidRPr="00D07C80">
              <w:rPr>
                <w:rFonts w:cstheme="minorHAnsi"/>
                <w:bCs/>
                <w:i/>
                <w:sz w:val="20"/>
                <w:szCs w:val="20"/>
                <w:lang w:val="es-ES_tradnl"/>
              </w:rPr>
              <w:t xml:space="preserve">Criterios </w:t>
            </w:r>
          </w:p>
          <w:p w:rsidR="00BE5F51" w:rsidRPr="00D07C80" w:rsidRDefault="00BE5F51" w:rsidP="00BE5F51">
            <w:pPr>
              <w:jc w:val="both"/>
              <w:rPr>
                <w:rFonts w:cstheme="minorHAnsi"/>
                <w:bCs/>
                <w:i/>
                <w:sz w:val="20"/>
                <w:szCs w:val="20"/>
                <w:lang w:val="es-ES_tradnl"/>
              </w:rPr>
            </w:pP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07C8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Enfoques personales y originales en los Trabajos Escritos.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07C8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Corrección en la presentación de los informes y cumplimiento de cronogramas    acordados.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07C8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Claridad y coherencia en las exposiciones orales.</w:t>
            </w:r>
          </w:p>
          <w:p w:rsidR="00BE5F51" w:rsidRPr="00D07C80" w:rsidRDefault="00BE5F51" w:rsidP="00BE5F5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07C8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Propiedad en la utilización de conceptos y terminología específica de la asignatura.</w:t>
            </w:r>
          </w:p>
          <w:p w:rsidR="00BE5F51" w:rsidRPr="00BC7EA4" w:rsidRDefault="00BE5F51" w:rsidP="00BE5F51">
            <w:pPr>
              <w:rPr>
                <w:rFonts w:eastAsia="Adobe Heiti Std R" w:cstheme="minorHAnsi"/>
                <w:lang w:val="es-AR"/>
              </w:rPr>
            </w:pPr>
          </w:p>
          <w:p w:rsidR="00BE5F51" w:rsidRPr="006E5350" w:rsidRDefault="00BE5F51" w:rsidP="00BE5F51">
            <w:pPr>
              <w:rPr>
                <w:rFonts w:eastAsia="Adobe Heiti Std R" w:cstheme="minorHAnsi"/>
                <w:sz w:val="18"/>
                <w:szCs w:val="18"/>
                <w:lang w:val="es-AR"/>
              </w:rPr>
            </w:pPr>
            <w:r w:rsidRPr="006E5350">
              <w:rPr>
                <w:rFonts w:eastAsia="Adobe Heiti Std R" w:cstheme="minorHAnsi"/>
                <w:sz w:val="18"/>
                <w:szCs w:val="18"/>
                <w:lang w:val="es-AR"/>
              </w:rPr>
              <w:t>CRITEROS DE EVALUACIÓN (RECUPERATORIO DICIEMBRE – FEBRERO)</w:t>
            </w:r>
          </w:p>
          <w:p w:rsidR="00BE5F51" w:rsidRPr="006E5350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6E5350">
              <w:rPr>
                <w:rFonts w:eastAsia="Adobe Heiti Std R" w:cstheme="minorHAnsi"/>
                <w:sz w:val="20"/>
                <w:szCs w:val="20"/>
                <w:lang w:val="es-AR"/>
              </w:rPr>
              <w:t>Para aprobar en alguna de estas instancias, se tendrá en cuenta:</w:t>
            </w:r>
          </w:p>
          <w:p w:rsidR="00BE5F51" w:rsidRPr="006E5350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</w:p>
          <w:p w:rsidR="00BE5F51" w:rsidRPr="006E5350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6E5350">
              <w:rPr>
                <w:rFonts w:eastAsia="Adobe Heiti Std R" w:cstheme="minorHAnsi"/>
                <w:sz w:val="20"/>
                <w:szCs w:val="20"/>
                <w:lang w:val="es-AR"/>
              </w:rPr>
              <w:t>Dominio de los contenidos teóricos, valorando el pensamiento crítico.</w:t>
            </w:r>
          </w:p>
          <w:p w:rsidR="00BE5F51" w:rsidRPr="006E5350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6E5350">
              <w:rPr>
                <w:rFonts w:eastAsia="Adobe Heiti Std R" w:cstheme="minorHAnsi"/>
                <w:sz w:val="20"/>
                <w:szCs w:val="20"/>
                <w:lang w:val="es-AR"/>
              </w:rPr>
              <w:t xml:space="preserve">Resolución de problemas, utilizando un análisis técnico – económico. </w:t>
            </w:r>
          </w:p>
          <w:p w:rsidR="00BE5F51" w:rsidRPr="006E5350" w:rsidRDefault="00BE5F51" w:rsidP="00BE5F51">
            <w:pPr>
              <w:rPr>
                <w:rFonts w:eastAsia="Adobe Heiti Std R" w:cstheme="minorHAnsi"/>
                <w:sz w:val="20"/>
                <w:szCs w:val="20"/>
                <w:lang w:val="es-AR"/>
              </w:rPr>
            </w:pPr>
            <w:r w:rsidRPr="006E5350">
              <w:rPr>
                <w:rFonts w:eastAsia="Adobe Heiti Std R" w:cstheme="minorHAnsi"/>
                <w:sz w:val="20"/>
                <w:szCs w:val="20"/>
                <w:lang w:val="es-AR"/>
              </w:rPr>
              <w:t>Manejo correcto de la terminología propia de la asignatura.</w:t>
            </w:r>
          </w:p>
          <w:p w:rsidR="00BE5F51" w:rsidRPr="00BC7EA4" w:rsidRDefault="00BE5F51" w:rsidP="00BE5F51">
            <w:pPr>
              <w:rPr>
                <w:rFonts w:eastAsia="Adobe Heiti Std R" w:cstheme="minorHAnsi"/>
                <w:u w:val="single"/>
                <w:lang w:val="es-AR"/>
              </w:rPr>
            </w:pPr>
          </w:p>
        </w:tc>
      </w:tr>
    </w:tbl>
    <w:p w:rsidR="00182296" w:rsidRDefault="00182296" w:rsidP="00182296">
      <w:pPr>
        <w:pStyle w:val="Textoindependiente"/>
        <w:rPr>
          <w:rFonts w:ascii="Arial MT"/>
          <w:b w:val="0"/>
          <w:sz w:val="20"/>
        </w:rPr>
      </w:pPr>
    </w:p>
    <w:p w:rsidR="00182296" w:rsidRDefault="00182296" w:rsidP="00182296"/>
    <w:p w:rsidR="001E4015" w:rsidRDefault="001E4015" w:rsidP="00182296"/>
    <w:p w:rsidR="001E4015" w:rsidRDefault="001E4015" w:rsidP="00182296"/>
    <w:p w:rsidR="001E4015" w:rsidRDefault="001E4015" w:rsidP="001E4015">
      <w:pPr>
        <w:jc w:val="right"/>
        <w:rPr>
          <w:sz w:val="8"/>
          <w:szCs w:val="8"/>
        </w:rPr>
      </w:pPr>
      <w:r>
        <w:rPr>
          <w:sz w:val="8"/>
          <w:szCs w:val="8"/>
        </w:rPr>
        <w:t>…………………………………………………………………………………………………</w:t>
      </w:r>
    </w:p>
    <w:p w:rsidR="001E4015" w:rsidRPr="008A1244" w:rsidRDefault="001E4015" w:rsidP="001E4015">
      <w:pPr>
        <w:jc w:val="right"/>
        <w:rPr>
          <w:sz w:val="18"/>
          <w:szCs w:val="18"/>
        </w:rPr>
      </w:pPr>
      <w:r>
        <w:rPr>
          <w:sz w:val="18"/>
          <w:szCs w:val="18"/>
        </w:rPr>
        <w:t>Prof. SOSA, Francisco Omar</w:t>
      </w:r>
    </w:p>
    <w:p w:rsidR="001E4015" w:rsidRDefault="001E4015" w:rsidP="001E4015">
      <w:pPr>
        <w:jc w:val="right"/>
      </w:pPr>
    </w:p>
    <w:p w:rsidR="007D72F2" w:rsidRDefault="007D72F2" w:rsidP="001E4015">
      <w:pPr>
        <w:jc w:val="right"/>
      </w:pPr>
    </w:p>
    <w:p w:rsidR="007D72F2" w:rsidRDefault="007D72F2" w:rsidP="001E4015">
      <w:pPr>
        <w:jc w:val="right"/>
      </w:pPr>
    </w:p>
    <w:p w:rsidR="007D72F2" w:rsidRDefault="007D72F2" w:rsidP="001E4015">
      <w:pPr>
        <w:jc w:val="right"/>
      </w:pPr>
    </w:p>
    <w:p w:rsidR="007D72F2" w:rsidRDefault="007D72F2" w:rsidP="007D72F2">
      <w:pPr>
        <w:jc w:val="right"/>
        <w:rPr>
          <w:sz w:val="8"/>
          <w:szCs w:val="8"/>
        </w:rPr>
      </w:pPr>
      <w:r>
        <w:rPr>
          <w:sz w:val="8"/>
          <w:szCs w:val="8"/>
        </w:rPr>
        <w:t>…………………………………………………………………………………………………</w:t>
      </w:r>
    </w:p>
    <w:p w:rsidR="007D72F2" w:rsidRPr="008A1244" w:rsidRDefault="007D72F2" w:rsidP="007D72F2">
      <w:pPr>
        <w:jc w:val="right"/>
        <w:rPr>
          <w:sz w:val="18"/>
          <w:szCs w:val="18"/>
        </w:rPr>
      </w:pPr>
      <w:r>
        <w:rPr>
          <w:sz w:val="18"/>
          <w:szCs w:val="18"/>
        </w:rPr>
        <w:t>Prof. CAPDEVILLA, T</w:t>
      </w:r>
      <w:bookmarkStart w:id="0" w:name="_GoBack"/>
      <w:bookmarkEnd w:id="0"/>
      <w:r>
        <w:rPr>
          <w:sz w:val="18"/>
          <w:szCs w:val="18"/>
        </w:rPr>
        <w:t>omás</w:t>
      </w:r>
    </w:p>
    <w:p w:rsidR="007D72F2" w:rsidRDefault="007D72F2" w:rsidP="001E4015">
      <w:pPr>
        <w:jc w:val="right"/>
      </w:pPr>
    </w:p>
    <w:p w:rsidR="001E4015" w:rsidRDefault="001E4015" w:rsidP="001E4015">
      <w:pPr>
        <w:jc w:val="right"/>
      </w:pPr>
    </w:p>
    <w:p w:rsidR="001E4015" w:rsidRDefault="001E4015" w:rsidP="001E4015">
      <w:pPr>
        <w:jc w:val="right"/>
      </w:pPr>
    </w:p>
    <w:p w:rsidR="001E4015" w:rsidRDefault="001E4015" w:rsidP="001E4015">
      <w:pPr>
        <w:jc w:val="right"/>
      </w:pPr>
    </w:p>
    <w:sectPr w:rsidR="001E4015" w:rsidSect="00C46D24">
      <w:headerReference w:type="default" r:id="rId8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182296">
      <w:pPr>
        <w:spacing w:after="0" w:line="240" w:lineRule="auto"/>
      </w:pPr>
      <w:r>
        <w:separator/>
      </w:r>
    </w:p>
  </w:endnote>
  <w:endnote w:type="continuationSeparator" w:id="0">
    <w:p w:rsidR="0043557E" w:rsidRDefault="0043557E" w:rsidP="0018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182296">
      <w:pPr>
        <w:spacing w:after="0" w:line="240" w:lineRule="auto"/>
      </w:pPr>
      <w:r>
        <w:separator/>
      </w:r>
    </w:p>
  </w:footnote>
  <w:footnote w:type="continuationSeparator" w:id="0">
    <w:p w:rsidR="0043557E" w:rsidRDefault="0043557E" w:rsidP="0018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96" w:rsidRDefault="00182296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4DA"/>
    <w:multiLevelType w:val="hybridMultilevel"/>
    <w:tmpl w:val="F8E4E0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74540CF0"/>
    <w:multiLevelType w:val="hybridMultilevel"/>
    <w:tmpl w:val="09E60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51E6"/>
    <w:multiLevelType w:val="hybridMultilevel"/>
    <w:tmpl w:val="2AA688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96"/>
    <w:rsid w:val="00182296"/>
    <w:rsid w:val="001E4015"/>
    <w:rsid w:val="003E4814"/>
    <w:rsid w:val="003E5B69"/>
    <w:rsid w:val="0041564C"/>
    <w:rsid w:val="0043557E"/>
    <w:rsid w:val="004874E7"/>
    <w:rsid w:val="004A5275"/>
    <w:rsid w:val="00647985"/>
    <w:rsid w:val="006E5350"/>
    <w:rsid w:val="007D72F2"/>
    <w:rsid w:val="00A47344"/>
    <w:rsid w:val="00BC3FA9"/>
    <w:rsid w:val="00BE5F51"/>
    <w:rsid w:val="00C46D24"/>
    <w:rsid w:val="00C51D30"/>
    <w:rsid w:val="00D26DC2"/>
    <w:rsid w:val="00DA2A9B"/>
    <w:rsid w:val="00DB366E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4BAB"/>
  <w15:chartTrackingRefBased/>
  <w15:docId w15:val="{B4675FA9-6325-4670-B743-3746CDA7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822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2296"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34"/>
    <w:qFormat/>
    <w:rsid w:val="001822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822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DB366E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AR" w:eastAsia="es-ES"/>
    </w:rPr>
  </w:style>
  <w:style w:type="character" w:customStyle="1" w:styleId="SubttuloCar">
    <w:name w:val="Subtítulo Car"/>
    <w:basedOn w:val="Fuentedeprrafopredeter"/>
    <w:link w:val="Subttulo"/>
    <w:rsid w:val="00DB366E"/>
    <w:rPr>
      <w:rFonts w:ascii="Arial" w:eastAsia="Times New Roman" w:hAnsi="Arial" w:cs="Times New Roman"/>
      <w:b/>
      <w:sz w:val="24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BE5F51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BE5F5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nfasis">
    <w:name w:val="Emphasis"/>
    <w:basedOn w:val="Fuentedeprrafopredeter"/>
    <w:uiPriority w:val="20"/>
    <w:qFormat/>
    <w:rsid w:val="00BE5F51"/>
    <w:rPr>
      <w:i/>
      <w:i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5F51"/>
    <w:pPr>
      <w:widowControl w:val="0"/>
      <w:autoSpaceDE w:val="0"/>
      <w:autoSpaceDN w:val="0"/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E5F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4</cp:revision>
  <dcterms:created xsi:type="dcterms:W3CDTF">2023-03-11T21:40:00Z</dcterms:created>
  <dcterms:modified xsi:type="dcterms:W3CDTF">2023-03-13T20:03:00Z</dcterms:modified>
</cp:coreProperties>
</file>